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C9FCE">
      <w:pPr>
        <w:spacing w:after="240"/>
        <w:ind w:right="-270"/>
        <w:jc w:val="center"/>
        <w:rPr>
          <w:b/>
          <w:bCs/>
        </w:rPr>
      </w:pPr>
      <w:r>
        <w:rPr>
          <w:rFonts w:hint="default"/>
          <w:b/>
          <w:bCs/>
        </w:rPr>
        <w:t xml:space="preserve">Notes for </w:t>
      </w:r>
      <w:r>
        <w:rPr>
          <w:rFonts w:hint="default"/>
          <w:b/>
          <w:bCs/>
          <w:lang w:val="en-GB"/>
        </w:rPr>
        <w:t>c</w:t>
      </w:r>
      <w:r>
        <w:rPr>
          <w:rFonts w:hint="default"/>
          <w:b/>
          <w:bCs/>
        </w:rPr>
        <w:t>onsideration</w:t>
      </w:r>
    </w:p>
    <w:tbl>
      <w:tblPr>
        <w:tblStyle w:val="5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5"/>
      </w:tblGrid>
      <w:tr w14:paraId="7520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5" w:type="dxa"/>
          </w:tcPr>
          <w:p w14:paraId="15F7FFD4">
            <w:pPr>
              <w:pStyle w:val="7"/>
              <w:numPr>
                <w:ilvl w:val="0"/>
                <w:numId w:val="1"/>
              </w:numPr>
              <w:spacing w:before="120" w:after="120" w:line="240" w:lineRule="auto"/>
              <w:ind w:right="332"/>
              <w:contextualSpacing w:val="0"/>
              <w:jc w:val="both"/>
            </w:pPr>
            <w:r>
              <w:rPr>
                <w:rFonts w:hint="default"/>
              </w:rPr>
              <w:t xml:space="preserve">The </w:t>
            </w:r>
            <w:r>
              <w:rPr>
                <w:rFonts w:hint="default"/>
                <w:b/>
                <w:bCs/>
              </w:rPr>
              <w:t>counterpart letter</w:t>
            </w:r>
            <w:r>
              <w:rPr>
                <w:rFonts w:hint="default"/>
              </w:rPr>
              <w:t xml:space="preserve"> is an official note issued by the participating institutions, providing evidence of their commitment, in cash and/or in kind, to the project and FONTAGRO.</w:t>
            </w:r>
          </w:p>
          <w:p w14:paraId="164A3BF9">
            <w:pPr>
              <w:pStyle w:val="7"/>
              <w:numPr>
                <w:ilvl w:val="0"/>
                <w:numId w:val="1"/>
              </w:numPr>
              <w:spacing w:before="120" w:after="120" w:line="240" w:lineRule="auto"/>
              <w:ind w:right="332"/>
              <w:contextualSpacing w:val="0"/>
              <w:jc w:val="both"/>
            </w:pPr>
            <w:r>
              <w:rPr>
                <w:rFonts w:hint="default"/>
              </w:rPr>
              <w:t>A model text is provided on the following page, where the following must be indicated</w:t>
            </w:r>
            <w:r>
              <w:t xml:space="preserve">: </w:t>
            </w:r>
          </w:p>
          <w:p w14:paraId="38EB6A2B">
            <w:pPr>
              <w:pStyle w:val="7"/>
              <w:numPr>
                <w:ilvl w:val="1"/>
                <w:numId w:val="1"/>
              </w:numPr>
              <w:spacing w:before="120" w:after="120" w:line="240" w:lineRule="auto"/>
              <w:ind w:right="332"/>
              <w:contextualSpacing w:val="0"/>
              <w:jc w:val="both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GB"/>
              </w:rPr>
              <w:t>t</w:t>
            </w:r>
            <w:r>
              <w:rPr>
                <w:rFonts w:hint="default"/>
                <w:b/>
                <w:bCs/>
              </w:rPr>
              <w:t>hat the research topic is included in the work plan of the participating institution</w:t>
            </w:r>
            <w:r>
              <w:rPr>
                <w:b/>
                <w:bCs/>
              </w:rPr>
              <w:t xml:space="preserve">, </w:t>
            </w:r>
          </w:p>
          <w:p w14:paraId="3A54BBA1">
            <w:pPr>
              <w:pStyle w:val="7"/>
              <w:numPr>
                <w:ilvl w:val="1"/>
                <w:numId w:val="1"/>
              </w:numPr>
              <w:spacing w:before="120" w:after="120" w:line="240" w:lineRule="auto"/>
              <w:ind w:right="332"/>
              <w:contextualSpacing w:val="0"/>
              <w:jc w:val="both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GB"/>
              </w:rPr>
              <w:t>that the institution's highest authority has no objection to participating in the project</w:t>
            </w:r>
            <w:r>
              <w:rPr>
                <w:b/>
                <w:bCs/>
              </w:rPr>
              <w:t xml:space="preserve">, </w:t>
            </w:r>
          </w:p>
          <w:p w14:paraId="5FAED851">
            <w:pPr>
              <w:pStyle w:val="7"/>
              <w:numPr>
                <w:ilvl w:val="1"/>
                <w:numId w:val="1"/>
              </w:numPr>
              <w:spacing w:before="120" w:after="120" w:line="240" w:lineRule="auto"/>
              <w:ind w:right="332"/>
              <w:contextualSpacing w:val="0"/>
              <w:jc w:val="both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s-AR"/>
              </w:rPr>
              <w:t>the total counterpart amount expressed in "United States dollars," specifying whether the contribution is in cash, in kind, or a combination of both</w:t>
            </w:r>
            <w:r>
              <w:rPr>
                <w:b/>
                <w:bCs/>
              </w:rPr>
              <w:t xml:space="preserve">, </w:t>
            </w:r>
          </w:p>
          <w:p w14:paraId="51AD8A8B">
            <w:pPr>
              <w:pStyle w:val="7"/>
              <w:numPr>
                <w:ilvl w:val="1"/>
                <w:numId w:val="1"/>
              </w:numPr>
              <w:spacing w:before="120" w:after="120" w:line="240" w:lineRule="auto"/>
              <w:ind w:right="332"/>
              <w:contextualSpacing w:val="0"/>
              <w:jc w:val="both"/>
            </w:pPr>
            <w:r>
              <w:rPr>
                <w:rFonts w:hint="default"/>
                <w:b/>
                <w:bCs/>
                <w:lang w:val="es-AR"/>
              </w:rPr>
              <w:t xml:space="preserve">a </w:t>
            </w:r>
            <w:r>
              <w:rPr>
                <w:rFonts w:hint="default"/>
                <w:b/>
                <w:bCs/>
              </w:rPr>
              <w:t xml:space="preserve">breakdown of the total amount by expense category, in accordance with the instructions in FONTAGRO's Operations Manual (OP) Section II. </w:t>
            </w:r>
            <w:r>
              <w:rPr>
                <w:rFonts w:hint="default"/>
                <w:b w:val="0"/>
                <w:bCs w:val="0"/>
              </w:rPr>
              <w:t xml:space="preserve">Note that these expense categories will be subject to "external audit" by FONTAGRO. </w:t>
            </w:r>
            <w:r>
              <w:rPr>
                <w:rFonts w:hint="default"/>
              </w:rPr>
              <w:t>Institutions must ensure, in consultation with their financial departments, that all expenditures can be supported with documentation</w:t>
            </w:r>
          </w:p>
          <w:p w14:paraId="09A8DEA6">
            <w:pPr>
              <w:pStyle w:val="7"/>
              <w:numPr>
                <w:ilvl w:val="0"/>
                <w:numId w:val="1"/>
              </w:numPr>
              <w:spacing w:before="120" w:after="120" w:line="240" w:lineRule="auto"/>
              <w:ind w:right="332"/>
              <w:contextualSpacing w:val="0"/>
              <w:jc w:val="both"/>
              <w:rPr>
                <w:b/>
                <w:bCs/>
              </w:rPr>
            </w:pPr>
            <w:r>
              <w:rPr>
                <w:rFonts w:hint="default"/>
                <w:b/>
                <w:bCs/>
              </w:rPr>
              <w:t>All letters must be issued on official institutional letterhead and signed by the institution’s highest legal authority</w:t>
            </w:r>
            <w:r>
              <w:rPr>
                <w:b/>
                <w:bCs/>
              </w:rPr>
              <w:t xml:space="preserve">.  </w:t>
            </w:r>
          </w:p>
          <w:p w14:paraId="2E724C37">
            <w:pPr>
              <w:pStyle w:val="7"/>
              <w:numPr>
                <w:ilvl w:val="0"/>
                <w:numId w:val="1"/>
              </w:numPr>
              <w:spacing w:before="120" w:after="120" w:line="240" w:lineRule="auto"/>
              <w:ind w:right="332"/>
              <w:contextualSpacing w:val="0"/>
              <w:jc w:val="both"/>
            </w:pPr>
            <w:r>
              <w:rPr>
                <w:rFonts w:hint="default"/>
              </w:rPr>
              <w:t>Institutions must also submit scanned and notarized copies of the following two documents</w:t>
            </w:r>
            <w:r>
              <w:t>:</w:t>
            </w:r>
          </w:p>
          <w:p w14:paraId="71E29F83">
            <w:pPr>
              <w:pStyle w:val="7"/>
              <w:numPr>
                <w:ilvl w:val="1"/>
                <w:numId w:val="1"/>
              </w:numPr>
              <w:spacing w:before="120" w:after="120" w:line="240" w:lineRule="auto"/>
              <w:ind w:right="332"/>
              <w:contextualSpacing w:val="0"/>
              <w:jc w:val="both"/>
            </w:pPr>
            <w:r>
              <w:rPr>
                <w:rFonts w:hint="default"/>
              </w:rPr>
              <w:t>Proof of the institution's legal registration, whether public or private, in its country</w:t>
            </w:r>
            <w:r>
              <w:t xml:space="preserve">. </w:t>
            </w:r>
          </w:p>
          <w:p w14:paraId="1E0E5403">
            <w:pPr>
              <w:pStyle w:val="7"/>
              <w:numPr>
                <w:ilvl w:val="1"/>
                <w:numId w:val="1"/>
              </w:numPr>
              <w:spacing w:before="120" w:after="120" w:line="240" w:lineRule="auto"/>
              <w:ind w:right="332"/>
              <w:contextualSpacing w:val="0"/>
              <w:jc w:val="both"/>
            </w:pPr>
            <w:r>
              <w:rPr>
                <w:rFonts w:hint="default"/>
              </w:rPr>
              <w:t xml:space="preserve">Proof of the institution’s financial capacity for the last year, generally through the submission of an </w:t>
            </w:r>
            <w:r>
              <w:rPr>
                <w:rFonts w:hint="default"/>
                <w:lang w:val="es-AR"/>
              </w:rPr>
              <w:t>A</w:t>
            </w:r>
            <w:r>
              <w:rPr>
                <w:rFonts w:hint="default"/>
              </w:rPr>
              <w:t xml:space="preserve">udited </w:t>
            </w:r>
            <w:r>
              <w:rPr>
                <w:rFonts w:hint="default"/>
                <w:lang w:val="es-AR"/>
              </w:rPr>
              <w:t>F</w:t>
            </w:r>
            <w:r>
              <w:rPr>
                <w:rFonts w:hint="default"/>
              </w:rPr>
              <w:t xml:space="preserve">inancial </w:t>
            </w:r>
            <w:r>
              <w:rPr>
                <w:rFonts w:hint="default"/>
                <w:lang w:val="es-AR"/>
              </w:rPr>
              <w:t>S</w:t>
            </w:r>
            <w:r>
              <w:rPr>
                <w:rFonts w:hint="default"/>
              </w:rPr>
              <w:t>tatement</w:t>
            </w:r>
            <w:r>
              <w:t xml:space="preserve">. </w:t>
            </w:r>
          </w:p>
          <w:p w14:paraId="26B9AE77">
            <w:pPr>
              <w:spacing w:before="120" w:after="120" w:line="240" w:lineRule="auto"/>
              <w:ind w:left="720" w:right="332"/>
              <w:jc w:val="center"/>
              <w:rPr>
                <w:b/>
                <w:bCs/>
                <w:color w:val="FF0000"/>
              </w:rPr>
            </w:pPr>
            <w:r>
              <w:rPr>
                <w:rFonts w:hint="default"/>
                <w:b/>
                <w:bCs/>
                <w:color w:val="FF0000"/>
              </w:rPr>
              <w:t>Without these two documents, the proposed counterpart contribution will not be considered</w:t>
            </w:r>
            <w:r>
              <w:rPr>
                <w:b/>
                <w:bCs/>
                <w:color w:val="FF0000"/>
              </w:rPr>
              <w:t>.</w:t>
            </w:r>
          </w:p>
          <w:p w14:paraId="3C66C7A0">
            <w:pPr>
              <w:spacing w:after="0" w:line="240" w:lineRule="auto"/>
              <w:ind w:right="332"/>
            </w:pPr>
          </w:p>
          <w:p w14:paraId="4E050809">
            <w:pPr>
              <w:spacing w:after="0" w:line="240" w:lineRule="auto"/>
              <w:ind w:right="332"/>
              <w:jc w:val="center"/>
              <w:rPr>
                <w:b/>
                <w:bCs/>
                <w:color w:val="3333FF"/>
              </w:rPr>
            </w:pPr>
            <w:r>
              <w:rPr>
                <w:rFonts w:hint="default"/>
                <w:b/>
                <w:bCs/>
                <w:color w:val="3333FF"/>
              </w:rPr>
              <w:t>Please delete this section before submitting the final version of the counterpart letter</w:t>
            </w:r>
          </w:p>
          <w:p w14:paraId="29C13BD2">
            <w:pPr>
              <w:spacing w:after="240" w:line="240" w:lineRule="auto"/>
              <w:ind w:right="-270"/>
              <w:jc w:val="center"/>
              <w:rPr>
                <w:b/>
                <w:bCs/>
              </w:rPr>
            </w:pPr>
          </w:p>
        </w:tc>
      </w:tr>
    </w:tbl>
    <w:p w14:paraId="3B70A8B1"/>
    <w:p w14:paraId="5B70BE94">
      <w:r>
        <w:br w:type="page"/>
      </w:r>
    </w:p>
    <w:p w14:paraId="1EBB4ED4">
      <w:pPr>
        <w:jc w:val="center"/>
      </w:pPr>
      <w:r>
        <w:t>[</w:t>
      </w:r>
      <w:r>
        <w:rPr>
          <w:rFonts w:hint="default"/>
        </w:rPr>
        <w:t>OFFICIAL LETTERHEAD</w:t>
      </w:r>
      <w:r>
        <w:t>]</w:t>
      </w:r>
    </w:p>
    <w:p w14:paraId="12CBD084">
      <w:pPr>
        <w:jc w:val="right"/>
      </w:pPr>
      <w:r>
        <w:t>[</w:t>
      </w:r>
      <w:r>
        <w:rPr>
          <w:rFonts w:hint="default"/>
        </w:rPr>
        <w:t>LETTER OR NOTE ID #</w:t>
      </w:r>
      <w:r>
        <w:t>]</w:t>
      </w:r>
    </w:p>
    <w:p w14:paraId="300B25F4">
      <w:pPr>
        <w:jc w:val="right"/>
      </w:pPr>
      <w:r>
        <w:t>[</w:t>
      </w:r>
      <w:r>
        <w:rPr>
          <w:rFonts w:hint="default"/>
          <w:lang w:val="es-AR"/>
        </w:rPr>
        <w:t>Date</w:t>
      </w:r>
      <w:r>
        <w:t>]</w:t>
      </w:r>
    </w:p>
    <w:p w14:paraId="36BBDEDA">
      <w:pPr>
        <w:jc w:val="both"/>
      </w:pPr>
      <w:r>
        <w:rPr>
          <w:rFonts w:hint="default"/>
          <w:lang w:val="es-AR"/>
        </w:rPr>
        <w:t>Subject</w:t>
      </w:r>
      <w:r>
        <w:t xml:space="preserve">: </w:t>
      </w:r>
      <w:r>
        <w:rPr>
          <w:rFonts w:hint="default"/>
          <w:lang w:val="es-AR"/>
        </w:rPr>
        <w:t xml:space="preserve">Counterpart Contribution Letter, Project </w:t>
      </w:r>
      <w:r>
        <w:rPr>
          <w:rFonts w:hint="default"/>
          <w:lang w:val="en-GB"/>
        </w:rPr>
        <w:t>[Project title]</w:t>
      </w:r>
    </w:p>
    <w:p w14:paraId="60612989">
      <w:pPr>
        <w:jc w:val="both"/>
      </w:pPr>
    </w:p>
    <w:p w14:paraId="6A1BB620">
      <w:pPr>
        <w:spacing w:line="240" w:lineRule="auto"/>
        <w:jc w:val="both"/>
      </w:pPr>
      <w:r>
        <w:t>Dr. [</w:t>
      </w:r>
      <w:r>
        <w:rPr>
          <w:rFonts w:hint="default"/>
          <w:lang w:val="es-AR"/>
        </w:rPr>
        <w:t>Executive Secretary’s Name</w:t>
      </w:r>
      <w:r>
        <w:t>]</w:t>
      </w:r>
    </w:p>
    <w:p w14:paraId="4426D6B8">
      <w:pPr>
        <w:spacing w:line="240" w:lineRule="auto"/>
        <w:jc w:val="both"/>
        <w:rPr>
          <w:b/>
        </w:rPr>
      </w:pPr>
      <w:r>
        <w:rPr>
          <w:rFonts w:hint="default"/>
          <w:b/>
          <w:lang w:val="es-AR"/>
        </w:rPr>
        <w:t>Executive Secretary</w:t>
      </w:r>
      <w:r>
        <w:rPr>
          <w:b/>
        </w:rPr>
        <w:t>, FONTAGRO</w:t>
      </w:r>
    </w:p>
    <w:p w14:paraId="21083CAB">
      <w:pPr>
        <w:spacing w:line="240" w:lineRule="auto"/>
        <w:jc w:val="both"/>
      </w:pPr>
    </w:p>
    <w:p w14:paraId="540C2E35">
      <w:pPr>
        <w:spacing w:line="240" w:lineRule="auto"/>
        <w:jc w:val="both"/>
      </w:pPr>
      <w:r>
        <w:rPr>
          <w:rFonts w:hint="default"/>
        </w:rPr>
        <w:t>Dear Dr. [Executive Secretary’s Name],</w:t>
      </w:r>
    </w:p>
    <w:p w14:paraId="00FF814D">
      <w:pPr>
        <w:spacing w:line="240" w:lineRule="auto"/>
        <w:jc w:val="both"/>
      </w:pPr>
      <w:r>
        <w:rPr>
          <w:rFonts w:hint="default"/>
        </w:rPr>
        <w:t>We are pleased to confirm the participation of [</w:t>
      </w:r>
      <w:r>
        <w:rPr>
          <w:rFonts w:hint="default"/>
          <w:highlight w:val="lightGray"/>
        </w:rPr>
        <w:t>Full Name of Institution</w:t>
      </w:r>
      <w:r>
        <w:rPr>
          <w:rFonts w:hint="default"/>
        </w:rPr>
        <w:t>] as a [</w:t>
      </w:r>
      <w:r>
        <w:rPr>
          <w:rFonts w:hint="default"/>
          <w:b/>
          <w:bCs/>
          <w:highlight w:val="lightGray"/>
        </w:rPr>
        <w:t>lead executing agency / co-executing agency / associated organization</w:t>
      </w:r>
      <w:r>
        <w:rPr>
          <w:rFonts w:hint="default"/>
        </w:rPr>
        <w:t>] in the project [</w:t>
      </w:r>
      <w:r>
        <w:rPr>
          <w:rFonts w:hint="default"/>
          <w:highlight w:val="lightGray"/>
        </w:rPr>
        <w:t>Project Title</w:t>
      </w:r>
      <w:r>
        <w:rPr>
          <w:rFonts w:hint="default"/>
        </w:rPr>
        <w:t>], whose research topic is included in [</w:t>
      </w:r>
      <w:r>
        <w:rPr>
          <w:rFonts w:hint="default"/>
          <w:highlight w:val="lightGray"/>
        </w:rPr>
        <w:t>Institution’s</w:t>
      </w:r>
      <w:r>
        <w:rPr>
          <w:rFonts w:hint="default"/>
        </w:rPr>
        <w:t>] work plan. Enclosed are scanned and notarized copies of the institution's legal registration and financial capacity, which accompany this counterpart letter. Additionally, we confirm that [</w:t>
      </w:r>
      <w:r>
        <w:rPr>
          <w:rFonts w:hint="default"/>
          <w:highlight w:val="lightGray"/>
        </w:rPr>
        <w:t xml:space="preserve">President, Director General, or </w:t>
      </w:r>
      <w:r>
        <w:rPr>
          <w:rFonts w:hint="default"/>
          <w:highlight w:val="lightGray"/>
          <w:lang w:val="en-GB"/>
        </w:rPr>
        <w:t>i</w:t>
      </w:r>
      <w:r>
        <w:rPr>
          <w:rFonts w:hint="default"/>
          <w:highlight w:val="lightGray"/>
        </w:rPr>
        <w:t xml:space="preserve">nstitution's </w:t>
      </w:r>
      <w:r>
        <w:rPr>
          <w:rFonts w:hint="default"/>
          <w:highlight w:val="lightGray"/>
          <w:lang w:val="en-GB"/>
        </w:rPr>
        <w:t>h</w:t>
      </w:r>
      <w:r>
        <w:rPr>
          <w:rFonts w:hint="default"/>
          <w:highlight w:val="lightGray"/>
        </w:rPr>
        <w:t xml:space="preserve">ighest </w:t>
      </w:r>
      <w:r>
        <w:rPr>
          <w:rFonts w:hint="default"/>
          <w:highlight w:val="lightGray"/>
          <w:lang w:val="en-GB"/>
        </w:rPr>
        <w:t>a</w:t>
      </w:r>
      <w:r>
        <w:rPr>
          <w:rFonts w:hint="default"/>
          <w:highlight w:val="lightGray"/>
        </w:rPr>
        <w:t>uthority</w:t>
      </w:r>
      <w:r>
        <w:rPr>
          <w:rFonts w:hint="default"/>
        </w:rPr>
        <w:t>] has no objection to the institution’s participation in the platform.</w:t>
      </w:r>
    </w:p>
    <w:p w14:paraId="1FA3A2CC">
      <w:pPr>
        <w:spacing w:line="240" w:lineRule="auto"/>
        <w:jc w:val="both"/>
      </w:pPr>
      <w:r>
        <w:rPr>
          <w:rFonts w:hint="default"/>
        </w:rPr>
        <w:t>The institution commits to a counterpart contribution of [</w:t>
      </w:r>
      <w:r>
        <w:rPr>
          <w:rFonts w:hint="default"/>
          <w:highlight w:val="lightGray"/>
        </w:rPr>
        <w:t>indicate whether in kind, in cash, or a combination of both</w:t>
      </w:r>
      <w:r>
        <w:rPr>
          <w:rFonts w:hint="default"/>
        </w:rPr>
        <w:t>] amounting to [</w:t>
      </w:r>
      <w:r>
        <w:rPr>
          <w:rFonts w:hint="default"/>
          <w:highlight w:val="lightGray"/>
        </w:rPr>
        <w:t>total amount</w:t>
      </w:r>
      <w:r>
        <w:rPr>
          <w:rFonts w:hint="default"/>
        </w:rPr>
        <w:t>] U.S. dollars, broken down as follows: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9"/>
        <w:gridCol w:w="2248"/>
      </w:tblGrid>
      <w:tr w14:paraId="0CAC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0" w:type="auto"/>
          </w:tcPr>
          <w:p w14:paraId="2D557921">
            <w:pPr>
              <w:spacing w:after="0" w:line="240" w:lineRule="auto"/>
              <w:rPr>
                <w:rFonts w:eastAsia="Times New Roman" w:cs="Times New Roman"/>
                <w:b/>
                <w:bCs/>
                <w:szCs w:val="16"/>
              </w:rPr>
            </w:pPr>
            <w:r>
              <w:rPr>
                <w:rFonts w:hint="default" w:eastAsia="Times New Roman"/>
                <w:b/>
                <w:bCs/>
                <w:szCs w:val="16"/>
              </w:rPr>
              <w:t>Expense Categories</w:t>
            </w:r>
            <w:r>
              <w:rPr>
                <w:rFonts w:eastAsia="Times New Roman" w:cs="Times New Roman"/>
                <w:b/>
                <w:bCs/>
                <w:szCs w:val="16"/>
              </w:rPr>
              <w:t xml:space="preserve"> </w:t>
            </w:r>
          </w:p>
        </w:tc>
        <w:tc>
          <w:tcPr>
            <w:tcW w:w="2248" w:type="dxa"/>
          </w:tcPr>
          <w:p w14:paraId="4314B690">
            <w:pPr>
              <w:spacing w:after="0" w:line="240" w:lineRule="auto"/>
              <w:rPr>
                <w:rFonts w:eastAsia="Times New Roman" w:cs="Times New Roman"/>
                <w:b/>
                <w:bCs/>
                <w:szCs w:val="16"/>
              </w:rPr>
            </w:pPr>
          </w:p>
        </w:tc>
      </w:tr>
      <w:tr w14:paraId="1647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noWrap/>
          </w:tcPr>
          <w:p w14:paraId="51F9CC4E">
            <w:pPr>
              <w:spacing w:after="0" w:line="240" w:lineRule="auto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01. </w:t>
            </w:r>
            <w:r>
              <w:rPr>
                <w:rFonts w:hint="default" w:eastAsia="Times New Roman"/>
                <w:szCs w:val="16"/>
              </w:rPr>
              <w:t>Consultants</w:t>
            </w:r>
          </w:p>
        </w:tc>
        <w:tc>
          <w:tcPr>
            <w:tcW w:w="2248" w:type="dxa"/>
          </w:tcPr>
          <w:p w14:paraId="771FB3F5">
            <w:pPr>
              <w:spacing w:after="0" w:line="240" w:lineRule="auto"/>
              <w:rPr>
                <w:rFonts w:eastAsia="Times New Roman"/>
                <w:szCs w:val="16"/>
              </w:rPr>
            </w:pPr>
          </w:p>
        </w:tc>
      </w:tr>
      <w:tr w14:paraId="514E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noWrap/>
          </w:tcPr>
          <w:p w14:paraId="5A8C5B3D">
            <w:pPr>
              <w:spacing w:after="0" w:line="240" w:lineRule="auto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02. </w:t>
            </w:r>
            <w:r>
              <w:rPr>
                <w:rFonts w:hint="default" w:eastAsia="Times New Roman"/>
                <w:szCs w:val="16"/>
              </w:rPr>
              <w:t xml:space="preserve">Goods and </w:t>
            </w:r>
            <w:r>
              <w:rPr>
                <w:rFonts w:hint="default" w:eastAsia="Times New Roman"/>
                <w:szCs w:val="16"/>
                <w:lang w:val="en-GB"/>
              </w:rPr>
              <w:t>s</w:t>
            </w:r>
            <w:r>
              <w:rPr>
                <w:rFonts w:hint="default" w:eastAsia="Times New Roman"/>
                <w:szCs w:val="16"/>
              </w:rPr>
              <w:t>ervices</w:t>
            </w:r>
          </w:p>
        </w:tc>
        <w:tc>
          <w:tcPr>
            <w:tcW w:w="2248" w:type="dxa"/>
          </w:tcPr>
          <w:p w14:paraId="55950787">
            <w:pPr>
              <w:spacing w:after="0" w:line="240" w:lineRule="auto"/>
              <w:rPr>
                <w:rFonts w:eastAsia="Times New Roman"/>
                <w:szCs w:val="16"/>
              </w:rPr>
            </w:pPr>
          </w:p>
        </w:tc>
      </w:tr>
      <w:tr w14:paraId="3361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noWrap/>
          </w:tcPr>
          <w:p w14:paraId="53608FDB">
            <w:pPr>
              <w:spacing w:after="0" w:line="240" w:lineRule="auto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03. </w:t>
            </w:r>
            <w:r>
              <w:rPr>
                <w:rFonts w:hint="default" w:eastAsia="Times New Roman"/>
                <w:szCs w:val="16"/>
              </w:rPr>
              <w:t xml:space="preserve">Materials and </w:t>
            </w:r>
            <w:r>
              <w:rPr>
                <w:rFonts w:hint="default" w:eastAsia="Times New Roman"/>
                <w:szCs w:val="16"/>
                <w:lang w:val="en-GB"/>
              </w:rPr>
              <w:t>s</w:t>
            </w:r>
            <w:r>
              <w:rPr>
                <w:rFonts w:hint="default" w:eastAsia="Times New Roman"/>
                <w:szCs w:val="16"/>
              </w:rPr>
              <w:t>upplies</w:t>
            </w:r>
          </w:p>
        </w:tc>
        <w:tc>
          <w:tcPr>
            <w:tcW w:w="2248" w:type="dxa"/>
          </w:tcPr>
          <w:p w14:paraId="3A7B9DCD">
            <w:pPr>
              <w:spacing w:after="0" w:line="240" w:lineRule="auto"/>
              <w:rPr>
                <w:rFonts w:eastAsia="Times New Roman"/>
                <w:szCs w:val="16"/>
              </w:rPr>
            </w:pPr>
          </w:p>
        </w:tc>
      </w:tr>
      <w:tr w14:paraId="76B4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noWrap/>
          </w:tcPr>
          <w:p w14:paraId="3EBBE9D6">
            <w:pPr>
              <w:spacing w:after="0" w:line="240" w:lineRule="auto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04. </w:t>
            </w:r>
            <w:r>
              <w:rPr>
                <w:rFonts w:hint="default" w:eastAsia="Times New Roman"/>
                <w:szCs w:val="16"/>
              </w:rPr>
              <w:t xml:space="preserve">Travel and </w:t>
            </w:r>
            <w:r>
              <w:rPr>
                <w:rFonts w:hint="default" w:eastAsia="Times New Roman"/>
                <w:szCs w:val="16"/>
                <w:lang w:val="en-GB"/>
              </w:rPr>
              <w:t>p</w:t>
            </w:r>
            <w:r>
              <w:rPr>
                <w:rFonts w:hint="default" w:eastAsia="Times New Roman"/>
                <w:szCs w:val="16"/>
              </w:rPr>
              <w:t xml:space="preserve">er </w:t>
            </w:r>
            <w:r>
              <w:rPr>
                <w:rFonts w:hint="default" w:eastAsia="Times New Roman"/>
                <w:szCs w:val="16"/>
                <w:lang w:val="en-GB"/>
              </w:rPr>
              <w:t>d</w:t>
            </w:r>
            <w:r>
              <w:rPr>
                <w:rFonts w:hint="default" w:eastAsia="Times New Roman"/>
                <w:szCs w:val="16"/>
              </w:rPr>
              <w:t>iem</w:t>
            </w:r>
          </w:p>
        </w:tc>
        <w:tc>
          <w:tcPr>
            <w:tcW w:w="2248" w:type="dxa"/>
          </w:tcPr>
          <w:p w14:paraId="4A0681F8">
            <w:pPr>
              <w:spacing w:after="0" w:line="240" w:lineRule="auto"/>
              <w:rPr>
                <w:rFonts w:eastAsia="Times New Roman"/>
                <w:szCs w:val="16"/>
              </w:rPr>
            </w:pPr>
          </w:p>
        </w:tc>
      </w:tr>
      <w:tr w14:paraId="7C7D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noWrap/>
          </w:tcPr>
          <w:p w14:paraId="16426A30">
            <w:pPr>
              <w:spacing w:after="0" w:line="240" w:lineRule="auto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05. </w:t>
            </w:r>
            <w:r>
              <w:rPr>
                <w:rFonts w:hint="default" w:eastAsia="Times New Roman"/>
                <w:szCs w:val="16"/>
              </w:rPr>
              <w:t>Training</w:t>
            </w:r>
          </w:p>
        </w:tc>
        <w:tc>
          <w:tcPr>
            <w:tcW w:w="2248" w:type="dxa"/>
          </w:tcPr>
          <w:p w14:paraId="0CF05F20">
            <w:pPr>
              <w:spacing w:after="0" w:line="240" w:lineRule="auto"/>
              <w:rPr>
                <w:rFonts w:eastAsia="Times New Roman"/>
                <w:szCs w:val="16"/>
              </w:rPr>
            </w:pPr>
          </w:p>
        </w:tc>
      </w:tr>
      <w:tr w14:paraId="7AEB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noWrap/>
          </w:tcPr>
          <w:p w14:paraId="088B17FA">
            <w:pPr>
              <w:spacing w:after="0" w:line="240" w:lineRule="auto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06. </w:t>
            </w:r>
            <w:r>
              <w:rPr>
                <w:rFonts w:hint="default" w:eastAsia="Times New Roman"/>
                <w:szCs w:val="16"/>
              </w:rPr>
              <w:t xml:space="preserve">Knowledge </w:t>
            </w:r>
            <w:r>
              <w:rPr>
                <w:rFonts w:hint="default" w:eastAsia="Times New Roman"/>
                <w:szCs w:val="16"/>
                <w:lang w:val="en-GB"/>
              </w:rPr>
              <w:t>m</w:t>
            </w:r>
            <w:r>
              <w:rPr>
                <w:rFonts w:hint="default" w:eastAsia="Times New Roman"/>
                <w:szCs w:val="16"/>
              </w:rPr>
              <w:t>anagement and Communications</w:t>
            </w:r>
          </w:p>
        </w:tc>
        <w:tc>
          <w:tcPr>
            <w:tcW w:w="2248" w:type="dxa"/>
          </w:tcPr>
          <w:p w14:paraId="5B237928">
            <w:pPr>
              <w:spacing w:after="0" w:line="240" w:lineRule="auto"/>
              <w:rPr>
                <w:rFonts w:eastAsia="Times New Roman"/>
                <w:szCs w:val="16"/>
              </w:rPr>
            </w:pPr>
          </w:p>
        </w:tc>
      </w:tr>
      <w:tr w14:paraId="10B0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noWrap/>
          </w:tcPr>
          <w:p w14:paraId="45464F42">
            <w:pPr>
              <w:spacing w:after="0" w:line="240" w:lineRule="auto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07. </w:t>
            </w:r>
            <w:r>
              <w:rPr>
                <w:rFonts w:hint="default" w:eastAsia="Times New Roman"/>
                <w:szCs w:val="16"/>
              </w:rPr>
              <w:t>Administrative Expenses</w:t>
            </w:r>
          </w:p>
        </w:tc>
        <w:tc>
          <w:tcPr>
            <w:tcW w:w="2248" w:type="dxa"/>
          </w:tcPr>
          <w:p w14:paraId="355B7550">
            <w:pPr>
              <w:spacing w:after="0" w:line="240" w:lineRule="auto"/>
              <w:rPr>
                <w:rFonts w:eastAsia="Times New Roman"/>
                <w:szCs w:val="16"/>
              </w:rPr>
            </w:pPr>
          </w:p>
        </w:tc>
      </w:tr>
      <w:tr w14:paraId="22B1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noWrap/>
          </w:tcPr>
          <w:p w14:paraId="565A3F69">
            <w:pPr>
              <w:spacing w:after="0" w:line="240" w:lineRule="auto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08. </w:t>
            </w:r>
            <w:r>
              <w:rPr>
                <w:rFonts w:hint="default" w:eastAsia="Times New Roman"/>
                <w:szCs w:val="16"/>
              </w:rPr>
              <w:t>Contingencies</w:t>
            </w:r>
          </w:p>
        </w:tc>
        <w:tc>
          <w:tcPr>
            <w:tcW w:w="2248" w:type="dxa"/>
          </w:tcPr>
          <w:p w14:paraId="5F3F83D9">
            <w:pPr>
              <w:spacing w:after="0" w:line="240" w:lineRule="auto"/>
              <w:rPr>
                <w:rFonts w:eastAsia="Times New Roman"/>
                <w:szCs w:val="16"/>
              </w:rPr>
            </w:pPr>
          </w:p>
        </w:tc>
      </w:tr>
      <w:tr w14:paraId="6B6D7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noWrap/>
          </w:tcPr>
          <w:p w14:paraId="20E290E2">
            <w:pPr>
              <w:spacing w:after="0" w:line="240" w:lineRule="auto"/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09. </w:t>
            </w:r>
            <w:r>
              <w:rPr>
                <w:rFonts w:hint="default" w:eastAsia="Times New Roman"/>
                <w:szCs w:val="16"/>
              </w:rPr>
              <w:t>External Audit</w:t>
            </w:r>
          </w:p>
        </w:tc>
        <w:tc>
          <w:tcPr>
            <w:tcW w:w="2248" w:type="dxa"/>
          </w:tcPr>
          <w:p w14:paraId="2EDCE5ED">
            <w:pPr>
              <w:spacing w:after="0" w:line="240" w:lineRule="auto"/>
              <w:rPr>
                <w:rFonts w:eastAsia="Times New Roman"/>
                <w:szCs w:val="16"/>
              </w:rPr>
            </w:pPr>
          </w:p>
        </w:tc>
      </w:tr>
      <w:tr w14:paraId="1E5E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0" w:type="auto"/>
            <w:noWrap/>
          </w:tcPr>
          <w:p w14:paraId="612BEBBC">
            <w:pPr>
              <w:spacing w:after="0" w:line="240" w:lineRule="auto"/>
              <w:rPr>
                <w:rFonts w:eastAsia="Times New Roman"/>
                <w:b/>
                <w:bCs/>
                <w:szCs w:val="16"/>
              </w:rPr>
            </w:pPr>
            <w:r>
              <w:rPr>
                <w:rFonts w:eastAsia="Times New Roman"/>
                <w:b/>
                <w:bCs/>
                <w:szCs w:val="16"/>
              </w:rPr>
              <w:t>Total</w:t>
            </w:r>
          </w:p>
        </w:tc>
        <w:tc>
          <w:tcPr>
            <w:tcW w:w="2248" w:type="dxa"/>
          </w:tcPr>
          <w:p w14:paraId="6CFF6F53">
            <w:pPr>
              <w:spacing w:after="0" w:line="240" w:lineRule="auto"/>
              <w:rPr>
                <w:rFonts w:eastAsia="Times New Roman"/>
                <w:b/>
                <w:bCs/>
                <w:szCs w:val="16"/>
              </w:rPr>
            </w:pPr>
          </w:p>
        </w:tc>
      </w:tr>
    </w:tbl>
    <w:p w14:paraId="318B0DA3">
      <w:pPr>
        <w:spacing w:line="240" w:lineRule="auto"/>
        <w:jc w:val="both"/>
      </w:pPr>
    </w:p>
    <w:p w14:paraId="3E96E89A">
      <w:r>
        <w:rPr>
          <w:rFonts w:hint="default"/>
          <w:lang w:val="es-AR"/>
        </w:rPr>
        <w:t>Sincerely</w:t>
      </w:r>
      <w:r>
        <w:t xml:space="preserve">, </w:t>
      </w:r>
    </w:p>
    <w:p w14:paraId="3E66333D"/>
    <w:p w14:paraId="7FDB418B">
      <w:pPr>
        <w:spacing w:after="0" w:line="240" w:lineRule="auto"/>
        <w:jc w:val="center"/>
        <w:rPr>
          <w:rFonts w:hint="default"/>
        </w:rPr>
      </w:pPr>
      <w:r>
        <w:rPr>
          <w:rFonts w:hint="default"/>
        </w:rPr>
        <w:t>[Signature]</w:t>
      </w:r>
    </w:p>
    <w:p w14:paraId="2817CDEB">
      <w:pPr>
        <w:spacing w:after="0" w:line="240" w:lineRule="auto"/>
        <w:jc w:val="center"/>
        <w:rPr>
          <w:rFonts w:hint="default"/>
        </w:rPr>
      </w:pPr>
      <w:r>
        <w:rPr>
          <w:rFonts w:hint="default"/>
        </w:rPr>
        <w:t>[Full Name]</w:t>
      </w:r>
    </w:p>
    <w:p w14:paraId="30C5E820">
      <w:pPr>
        <w:spacing w:after="0" w:line="240" w:lineRule="auto"/>
        <w:jc w:val="center"/>
        <w:rPr>
          <w:rFonts w:hint="default"/>
        </w:rPr>
      </w:pPr>
      <w:r>
        <w:rPr>
          <w:rFonts w:hint="default"/>
        </w:rPr>
        <w:t>[Position]</w:t>
      </w:r>
    </w:p>
    <w:p w14:paraId="19CAE329">
      <w:pPr>
        <w:spacing w:after="0" w:line="240" w:lineRule="auto"/>
        <w:jc w:val="center"/>
      </w:pPr>
      <w:r>
        <w:rPr>
          <w:rFonts w:hint="default"/>
        </w:rPr>
        <w:t>[Full Name of the Institution]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813F5"/>
    <w:multiLevelType w:val="multilevel"/>
    <w:tmpl w:val="40B813F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NDM2NTA0NDA2M7FQ0lEKTi0uzszPAykwrAUANRB4oCwAAAA="/>
  </w:docVars>
  <w:rsids>
    <w:rsidRoot w:val="002E4234"/>
    <w:rsid w:val="00032241"/>
    <w:rsid w:val="00084AFA"/>
    <w:rsid w:val="00097874"/>
    <w:rsid w:val="001507FF"/>
    <w:rsid w:val="00217F31"/>
    <w:rsid w:val="00234708"/>
    <w:rsid w:val="002E0658"/>
    <w:rsid w:val="002E4234"/>
    <w:rsid w:val="0035198E"/>
    <w:rsid w:val="0037184D"/>
    <w:rsid w:val="00380C52"/>
    <w:rsid w:val="003D6B8F"/>
    <w:rsid w:val="00420972"/>
    <w:rsid w:val="006A3CA6"/>
    <w:rsid w:val="007926F7"/>
    <w:rsid w:val="00800BDC"/>
    <w:rsid w:val="00815A2C"/>
    <w:rsid w:val="008312B2"/>
    <w:rsid w:val="00873527"/>
    <w:rsid w:val="00932632"/>
    <w:rsid w:val="009B5F86"/>
    <w:rsid w:val="009D3557"/>
    <w:rsid w:val="00B60B13"/>
    <w:rsid w:val="00D45274"/>
    <w:rsid w:val="00D715B9"/>
    <w:rsid w:val="00DE2AB3"/>
    <w:rsid w:val="00EA3367"/>
    <w:rsid w:val="11E95C51"/>
    <w:rsid w:val="644D1857"/>
    <w:rsid w:val="6842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2611</Characters>
  <Lines>21</Lines>
  <Paragraphs>6</Paragraphs>
  <TotalTime>29</TotalTime>
  <ScaleCrop>false</ScaleCrop>
  <LinksUpToDate>false</LinksUpToDate>
  <CharactersWithSpaces>3062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2018-03-05T23:23:00Z</dcterms:created>
  <dc:creator>Saini, Eugenia Maria de la Cruz</dc:creator>
  <cp:lastModifiedBy>josh.taylorp</cp:lastModifiedBy>
  <cp:lastPrinted>2018-03-05T17:47:00Z</cp:lastPrinted>
  <dcterms:modified xsi:type="dcterms:W3CDTF">2024-12-16T17:42:13Z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48E4DEE883C643DBB7BA270BC7F1F95A_13</vt:lpwstr>
  </property>
</Properties>
</file>